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A1F57" w:rsidRDefault="00A8602F">
      <w:pPr>
        <w:spacing w:line="200" w:lineRule="exact"/>
        <w:rPr>
          <w:rFonts w:ascii="Times New Roman" w:eastAsia="Times New Roman" w:hAnsi="Times New Roman"/>
          <w:sz w:val="24"/>
        </w:rPr>
      </w:pPr>
      <w:bookmarkStart w:id="0" w:name="page1"/>
      <w:bookmarkEnd w:id="0"/>
      <w:r>
        <w:rPr>
          <w:noProof/>
        </w:rPr>
        <w:drawing>
          <wp:anchor distT="0" distB="0" distL="114300" distR="114300" simplePos="0" relativeHeight="251654656" behindDoc="1" locked="0" layoutInCell="1" allowOverlap="1">
            <wp:simplePos x="0" y="0"/>
            <wp:positionH relativeFrom="page">
              <wp:posOffset>533400</wp:posOffset>
            </wp:positionH>
            <wp:positionV relativeFrom="page">
              <wp:posOffset>533400</wp:posOffset>
            </wp:positionV>
            <wp:extent cx="1050925" cy="923925"/>
            <wp:effectExtent l="0" t="0" r="0" b="0"/>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0925" cy="923925"/>
                    </a:xfrm>
                    <a:prstGeom prst="rect">
                      <a:avLst/>
                    </a:prstGeom>
                    <a:noFill/>
                  </pic:spPr>
                </pic:pic>
              </a:graphicData>
            </a:graphic>
            <wp14:sizeRelH relativeFrom="page">
              <wp14:pctWidth>0</wp14:pctWidth>
            </wp14:sizeRelH>
            <wp14:sizeRelV relativeFrom="page">
              <wp14:pctHeight>0</wp14:pctHeight>
            </wp14:sizeRelV>
          </wp:anchor>
        </w:drawing>
      </w: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342" w:lineRule="exact"/>
        <w:rPr>
          <w:rFonts w:ascii="Times New Roman" w:eastAsia="Times New Roman" w:hAnsi="Times New Roman"/>
          <w:sz w:val="24"/>
        </w:rPr>
      </w:pPr>
    </w:p>
    <w:p w:rsidR="00BA1F57" w:rsidRDefault="00A8379D">
      <w:pPr>
        <w:spacing w:line="0" w:lineRule="atLeast"/>
        <w:rPr>
          <w:rFonts w:ascii="Arial" w:eastAsia="Arial" w:hAnsi="Arial"/>
          <w:b/>
          <w:sz w:val="16"/>
        </w:rPr>
      </w:pPr>
      <w:r>
        <w:rPr>
          <w:rFonts w:ascii="Arial" w:eastAsia="Arial" w:hAnsi="Arial"/>
          <w:b/>
          <w:sz w:val="16"/>
        </w:rPr>
        <w:t>Direction</w:t>
      </w:r>
    </w:p>
    <w:p w:rsidR="00BA1F57" w:rsidRDefault="00BA1F57">
      <w:pPr>
        <w:spacing w:line="36" w:lineRule="exact"/>
        <w:rPr>
          <w:rFonts w:ascii="Times New Roman" w:eastAsia="Times New Roman" w:hAnsi="Times New Roman"/>
          <w:sz w:val="24"/>
        </w:rPr>
      </w:pPr>
    </w:p>
    <w:p w:rsidR="00BA1F57" w:rsidRDefault="00E221E3">
      <w:pPr>
        <w:spacing w:line="0" w:lineRule="atLeast"/>
        <w:rPr>
          <w:rFonts w:ascii="Arial" w:eastAsia="Arial" w:hAnsi="Arial"/>
          <w:b/>
          <w:sz w:val="16"/>
        </w:rPr>
      </w:pPr>
      <w:r>
        <w:rPr>
          <w:rFonts w:ascii="Arial" w:eastAsia="Arial" w:hAnsi="Arial"/>
          <w:b/>
          <w:sz w:val="16"/>
        </w:rPr>
        <w:t>Territoriale</w:t>
      </w:r>
    </w:p>
    <w:p w:rsidR="00E221E3" w:rsidRDefault="00E221E3">
      <w:pPr>
        <w:spacing w:line="0" w:lineRule="atLeast"/>
        <w:rPr>
          <w:rFonts w:ascii="Arial" w:eastAsia="Arial" w:hAnsi="Arial"/>
          <w:b/>
          <w:sz w:val="16"/>
        </w:rPr>
      </w:pPr>
      <w:r>
        <w:rPr>
          <w:rFonts w:ascii="Arial" w:eastAsia="Arial" w:hAnsi="Arial"/>
          <w:b/>
          <w:sz w:val="16"/>
        </w:rPr>
        <w:t>Nord-Est</w:t>
      </w:r>
    </w:p>
    <w:p w:rsidR="00BA1F57" w:rsidRDefault="00BA1F57">
      <w:pPr>
        <w:spacing w:line="256" w:lineRule="exact"/>
        <w:rPr>
          <w:rFonts w:ascii="Times New Roman" w:eastAsia="Times New Roman" w:hAnsi="Times New Roman"/>
          <w:sz w:val="24"/>
        </w:rPr>
      </w:pPr>
    </w:p>
    <w:p w:rsidR="00E221E3" w:rsidRDefault="002035FD" w:rsidP="00D30B5A">
      <w:pPr>
        <w:spacing w:line="0" w:lineRule="atLeast"/>
        <w:rPr>
          <w:rFonts w:ascii="Arial" w:eastAsia="Arial" w:hAnsi="Arial"/>
          <w:b/>
          <w:sz w:val="16"/>
        </w:rPr>
      </w:pPr>
      <w:r>
        <w:rPr>
          <w:rFonts w:ascii="Arial" w:eastAsia="Arial" w:hAnsi="Arial"/>
          <w:b/>
          <w:sz w:val="16"/>
        </w:rPr>
        <w:t xml:space="preserve">UTI </w:t>
      </w:r>
      <w:r w:rsidR="00E221E3">
        <w:rPr>
          <w:rFonts w:ascii="Arial" w:eastAsia="Arial" w:hAnsi="Arial"/>
          <w:b/>
          <w:sz w:val="16"/>
        </w:rPr>
        <w:t>Canal des Vosges</w:t>
      </w:r>
    </w:p>
    <w:p w:rsidR="00BA1F57" w:rsidRDefault="00BA1F57" w:rsidP="00D30B5A">
      <w:pPr>
        <w:spacing w:line="0" w:lineRule="atLeast"/>
        <w:jc w:val="center"/>
        <w:rPr>
          <w:rFonts w:ascii="Arial" w:eastAsia="Arial" w:hAnsi="Arial"/>
          <w:b/>
          <w:sz w:val="16"/>
        </w:rPr>
      </w:pPr>
    </w:p>
    <w:p w:rsidR="00BA1F57" w:rsidRDefault="00BA1F57" w:rsidP="00D30B5A">
      <w:pPr>
        <w:spacing w:line="200" w:lineRule="exact"/>
        <w:jc w:val="center"/>
        <w:rPr>
          <w:rFonts w:ascii="Times New Roman" w:eastAsia="Times New Roman" w:hAnsi="Times New Roman"/>
          <w:sz w:val="24"/>
        </w:rPr>
      </w:pPr>
    </w:p>
    <w:p w:rsidR="00B15AFA" w:rsidRPr="00D30B5A" w:rsidRDefault="00D30B5A" w:rsidP="00D30B5A">
      <w:pPr>
        <w:pStyle w:val="Corpsdetexte2"/>
        <w:rPr>
          <w:rFonts w:ascii="Times New Roman" w:hAnsi="Times New Roman" w:cs="Times New Roman"/>
          <w:color w:val="auto"/>
          <w:sz w:val="20"/>
          <w:szCs w:val="20"/>
        </w:rPr>
      </w:pPr>
      <w:r>
        <w:rPr>
          <w:rFonts w:ascii="Times New Roman" w:hAnsi="Times New Roman" w:cs="Times New Roman"/>
          <w:color w:val="auto"/>
          <w:sz w:val="20"/>
          <w:szCs w:val="20"/>
        </w:rPr>
        <w:t xml:space="preserve">                                        </w:t>
      </w:r>
      <w:r w:rsidR="00B15AFA" w:rsidRPr="00D30B5A">
        <w:rPr>
          <w:rFonts w:ascii="Times New Roman" w:hAnsi="Times New Roman" w:cs="Times New Roman"/>
          <w:color w:val="auto"/>
          <w:sz w:val="20"/>
          <w:szCs w:val="20"/>
        </w:rPr>
        <w:t>Prescriptions environnementales</w:t>
      </w:r>
    </w:p>
    <w:p w:rsidR="00B15AFA" w:rsidRPr="00D30B5A" w:rsidRDefault="00D30B5A" w:rsidP="00D30B5A">
      <w:pPr>
        <w:pStyle w:val="Corpsdetexte"/>
        <w:rPr>
          <w:rFonts w:ascii="Times New Roman" w:hAnsi="Times New Roman" w:cs="Times New Roman"/>
          <w:sz w:val="20"/>
          <w:szCs w:val="20"/>
        </w:rPr>
      </w:pPr>
      <w:r>
        <w:rPr>
          <w:rFonts w:ascii="Times New Roman" w:hAnsi="Times New Roman" w:cs="Times New Roman"/>
          <w:sz w:val="20"/>
          <w:szCs w:val="20"/>
        </w:rPr>
        <w:t xml:space="preserve">      </w:t>
      </w:r>
      <w:r w:rsidR="002035FD">
        <w:rPr>
          <w:rFonts w:ascii="Times New Roman" w:hAnsi="Times New Roman" w:cs="Times New Roman"/>
          <w:sz w:val="20"/>
          <w:szCs w:val="20"/>
        </w:rPr>
        <w:t xml:space="preserve">                               d</w:t>
      </w:r>
      <w:r w:rsidR="00B15AFA" w:rsidRPr="00D30B5A">
        <w:rPr>
          <w:rFonts w:ascii="Times New Roman" w:hAnsi="Times New Roman" w:cs="Times New Roman"/>
          <w:sz w:val="20"/>
          <w:szCs w:val="20"/>
        </w:rPr>
        <w:t>ans le cas de travaux</w:t>
      </w:r>
    </w:p>
    <w:p w:rsidR="00B15AFA" w:rsidRPr="00D30B5A" w:rsidRDefault="00D30B5A" w:rsidP="00D30B5A">
      <w:pPr>
        <w:pStyle w:val="Corpsdetexte"/>
        <w:rPr>
          <w:rFonts w:ascii="Times New Roman" w:hAnsi="Times New Roman" w:cs="Times New Roman"/>
          <w:color w:val="004CFF"/>
          <w:sz w:val="20"/>
          <w:szCs w:val="20"/>
        </w:rPr>
      </w:pPr>
      <w:r>
        <w:rPr>
          <w:rFonts w:ascii="Times New Roman" w:hAnsi="Times New Roman" w:cs="Times New Roman"/>
          <w:sz w:val="20"/>
          <w:szCs w:val="20"/>
        </w:rPr>
        <w:t xml:space="preserve">                                       </w:t>
      </w:r>
      <w:r w:rsidR="00B15AFA" w:rsidRPr="00D30B5A">
        <w:rPr>
          <w:rFonts w:ascii="Times New Roman" w:hAnsi="Times New Roman" w:cs="Times New Roman"/>
          <w:sz w:val="20"/>
          <w:szCs w:val="20"/>
        </w:rPr>
        <w:t>sur le Domaine Public Fluvial</w:t>
      </w:r>
    </w:p>
    <w:p w:rsidR="00BA1F57" w:rsidRDefault="00BA1F57">
      <w:pPr>
        <w:spacing w:line="200" w:lineRule="exact"/>
        <w:rPr>
          <w:rFonts w:ascii="Times New Roman" w:eastAsia="Times New Roman" w:hAnsi="Times New Roman"/>
          <w:sz w:val="24"/>
        </w:rPr>
      </w:pPr>
    </w:p>
    <w:p w:rsidR="00BA1F57" w:rsidRDefault="00BA1F57">
      <w:pPr>
        <w:spacing w:line="300" w:lineRule="exact"/>
        <w:rPr>
          <w:rFonts w:ascii="Times New Roman" w:eastAsia="Times New Roman" w:hAnsi="Times New Roman"/>
          <w:sz w:val="24"/>
        </w:rPr>
      </w:pPr>
    </w:p>
    <w:p w:rsidR="00BA1F57" w:rsidRPr="001D018C" w:rsidRDefault="00BA1F57">
      <w:pPr>
        <w:spacing w:line="0" w:lineRule="atLeast"/>
        <w:ind w:left="2260"/>
        <w:rPr>
          <w:rFonts w:ascii="Times New Roman" w:eastAsia="Arial" w:hAnsi="Times New Roman" w:cs="Times New Roman"/>
          <w:b/>
          <w:sz w:val="16"/>
        </w:rPr>
      </w:pPr>
    </w:p>
    <w:p w:rsidR="00BA1F57" w:rsidRPr="001D018C" w:rsidRDefault="00BA1F57">
      <w:pPr>
        <w:spacing w:line="26" w:lineRule="exact"/>
        <w:rPr>
          <w:rFonts w:ascii="Times New Roman" w:eastAsia="Times New Roman" w:hAnsi="Times New Roman" w:cs="Times New Roman"/>
          <w:sz w:val="24"/>
        </w:rPr>
      </w:pPr>
    </w:p>
    <w:p w:rsidR="00BA1F57" w:rsidRDefault="00A8379D">
      <w:pPr>
        <w:spacing w:line="200" w:lineRule="exact"/>
        <w:rPr>
          <w:rFonts w:ascii="Times New Roman" w:eastAsia="Times New Roman" w:hAnsi="Times New Roman"/>
          <w:sz w:val="24"/>
        </w:rPr>
      </w:pPr>
      <w:r>
        <w:rPr>
          <w:rFonts w:ascii="Arial" w:eastAsia="Arial" w:hAnsi="Arial"/>
          <w:b/>
          <w:sz w:val="16"/>
        </w:rPr>
        <w:br w:type="column"/>
      </w: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345" w:lineRule="exact"/>
        <w:rPr>
          <w:rFonts w:ascii="Times New Roman" w:eastAsia="Times New Roman" w:hAnsi="Times New Roman"/>
          <w:sz w:val="24"/>
        </w:rPr>
      </w:pPr>
    </w:p>
    <w:p w:rsidR="00BA1F57" w:rsidRDefault="00BA1F57">
      <w:pPr>
        <w:spacing w:line="0" w:lineRule="atLeast"/>
        <w:rPr>
          <w:rFonts w:ascii="Arial" w:eastAsia="Arial" w:hAnsi="Arial"/>
          <w:sz w:val="16"/>
        </w:rPr>
      </w:pPr>
    </w:p>
    <w:p w:rsidR="00BA1F57" w:rsidRDefault="002035FD">
      <w:pPr>
        <w:spacing w:line="20" w:lineRule="exact"/>
        <w:rPr>
          <w:rFonts w:ascii="Times New Roman" w:eastAsia="Times New Roman" w:hAnsi="Times New Roman"/>
          <w:sz w:val="24"/>
        </w:rPr>
        <w:sectPr w:rsidR="00BA1F57">
          <w:pgSz w:w="11900" w:h="16838"/>
          <w:pgMar w:top="1440" w:right="1440" w:bottom="0" w:left="860" w:header="0" w:footer="0" w:gutter="0"/>
          <w:cols w:num="2" w:space="0" w:equalWidth="0">
            <w:col w:w="5500" w:space="720"/>
            <w:col w:w="3386"/>
          </w:cols>
          <w:docGrid w:linePitch="360"/>
        </w:sectPr>
      </w:pPr>
      <w:r w:rsidRPr="002035FD">
        <w:rPr>
          <w:rFonts w:ascii="Times New Roman" w:eastAsia="Times New Roman" w:hAnsi="Times New Roman"/>
          <w:noProof/>
          <w:sz w:val="24"/>
        </w:rPr>
        <w:drawing>
          <wp:anchor distT="0" distB="0" distL="114300" distR="114300" simplePos="0" relativeHeight="251662336" behindDoc="1" locked="0" layoutInCell="1" allowOverlap="1" wp14:anchorId="0D491AEC" wp14:editId="489A884E">
            <wp:simplePos x="0" y="0"/>
            <wp:positionH relativeFrom="column">
              <wp:posOffset>1452880</wp:posOffset>
            </wp:positionH>
            <wp:positionV relativeFrom="paragraph">
              <wp:posOffset>1525270</wp:posOffset>
            </wp:positionV>
            <wp:extent cx="978535" cy="85344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8535" cy="853440"/>
                    </a:xfrm>
                    <a:prstGeom prst="rect">
                      <a:avLst/>
                    </a:prstGeom>
                    <a:noFill/>
                  </pic:spPr>
                </pic:pic>
              </a:graphicData>
            </a:graphic>
            <wp14:sizeRelH relativeFrom="page">
              <wp14:pctWidth>0</wp14:pctWidth>
            </wp14:sizeRelH>
            <wp14:sizeRelV relativeFrom="page">
              <wp14:pctHeight>0</wp14:pctHeight>
            </wp14:sizeRelV>
          </wp:anchor>
        </w:drawing>
      </w:r>
      <w:r w:rsidR="00A8602F">
        <w:rPr>
          <w:rFonts w:ascii="Arial" w:eastAsia="Arial" w:hAnsi="Arial"/>
          <w:noProof/>
          <w:sz w:val="16"/>
        </w:rPr>
        <w:drawing>
          <wp:anchor distT="0" distB="0" distL="114300" distR="114300" simplePos="0" relativeHeight="251655680" behindDoc="1" locked="0" layoutInCell="1" allowOverlap="1">
            <wp:simplePos x="0" y="0"/>
            <wp:positionH relativeFrom="column">
              <wp:posOffset>1477010</wp:posOffset>
            </wp:positionH>
            <wp:positionV relativeFrom="paragraph">
              <wp:posOffset>-1347470</wp:posOffset>
            </wp:positionV>
            <wp:extent cx="978535" cy="654050"/>
            <wp:effectExtent l="0" t="0" r="0" b="0"/>
            <wp:wrapNone/>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8535" cy="654050"/>
                    </a:xfrm>
                    <a:prstGeom prst="rect">
                      <a:avLst/>
                    </a:prstGeom>
                    <a:noFill/>
                  </pic:spPr>
                </pic:pic>
              </a:graphicData>
            </a:graphic>
            <wp14:sizeRelH relativeFrom="page">
              <wp14:pctWidth>0</wp14:pctWidth>
            </wp14:sizeRelH>
            <wp14:sizeRelV relativeFrom="page">
              <wp14:pctHeight>0</wp14:pctHeight>
            </wp14:sizeRelV>
          </wp:anchor>
        </w:drawing>
      </w:r>
    </w:p>
    <w:p w:rsidR="00BA1F57" w:rsidRPr="007C5735" w:rsidRDefault="00BA1F57">
      <w:pPr>
        <w:spacing w:line="360" w:lineRule="exact"/>
        <w:rPr>
          <w:rFonts w:ascii="Times New Roman" w:eastAsia="Times New Roman" w:hAnsi="Times New Roman" w:cs="Times New Roman"/>
          <w:sz w:val="24"/>
        </w:rPr>
      </w:pPr>
    </w:p>
    <w:p w:rsidR="009D456A" w:rsidRPr="009D456A" w:rsidRDefault="007C5735" w:rsidP="009D456A">
      <w:pPr>
        <w:numPr>
          <w:ilvl w:val="0"/>
          <w:numId w:val="1"/>
        </w:numPr>
        <w:spacing w:after="100" w:afterAutospacing="1"/>
        <w:ind w:left="357" w:right="1871" w:hanging="357"/>
        <w:jc w:val="both"/>
        <w:rPr>
          <w:rFonts w:ascii="Times New Roman" w:eastAsia="Arial Unicode MS" w:hAnsi="Times New Roman" w:cs="Times New Roman"/>
          <w:sz w:val="24"/>
          <w:szCs w:val="24"/>
        </w:rPr>
      </w:pPr>
      <w:r w:rsidRPr="007C5735">
        <w:rPr>
          <w:rFonts w:ascii="Times New Roman" w:eastAsia="Times New Roman" w:hAnsi="Times New Roman" w:cs="Times New Roman"/>
        </w:rPr>
        <w:t xml:space="preserve">L'attention de l'entreprise est attirée sur le fait que Voies Navigables de France s'est lancé dans une </w:t>
      </w:r>
      <w:r w:rsidR="00B15AFA">
        <w:rPr>
          <w:rFonts w:ascii="Times New Roman" w:eastAsia="Times New Roman" w:hAnsi="Times New Roman" w:cs="Times New Roman"/>
        </w:rPr>
        <w:t xml:space="preserve">   </w:t>
      </w:r>
      <w:r w:rsidRPr="007C5735">
        <w:rPr>
          <w:rFonts w:ascii="Times New Roman" w:eastAsia="Times New Roman" w:hAnsi="Times New Roman" w:cs="Times New Roman"/>
        </w:rPr>
        <w:t>démarche de respect de l'environnement.</w:t>
      </w:r>
    </w:p>
    <w:p w:rsidR="007C5735" w:rsidRPr="007C5735" w:rsidRDefault="002035FD" w:rsidP="00A07FAD">
      <w:pPr>
        <w:numPr>
          <w:ilvl w:val="0"/>
          <w:numId w:val="1"/>
        </w:numPr>
        <w:spacing w:after="100" w:afterAutospacing="1"/>
        <w:ind w:left="357" w:right="1871" w:hanging="357"/>
        <w:jc w:val="both"/>
        <w:rPr>
          <w:rFonts w:ascii="Times New Roman" w:eastAsia="Times New Roman" w:hAnsi="Times New Roman" w:cs="Times New Roman"/>
          <w:sz w:val="24"/>
          <w:szCs w:val="24"/>
        </w:rPr>
      </w:pPr>
      <w:r w:rsidRPr="002035FD">
        <w:rPr>
          <w:rFonts w:ascii="Times New Roman" w:eastAsia="Times New Roman" w:hAnsi="Times New Roman"/>
          <w:noProof/>
          <w:sz w:val="24"/>
        </w:rPr>
        <w:drawing>
          <wp:anchor distT="0" distB="0" distL="114300" distR="114300" simplePos="0" relativeHeight="251663360" behindDoc="1" locked="0" layoutInCell="1" allowOverlap="1" wp14:anchorId="280290D7" wp14:editId="057B4986">
            <wp:simplePos x="0" y="0"/>
            <wp:positionH relativeFrom="column">
              <wp:posOffset>5402580</wp:posOffset>
            </wp:positionH>
            <wp:positionV relativeFrom="paragraph">
              <wp:posOffset>62865</wp:posOffset>
            </wp:positionV>
            <wp:extent cx="978535" cy="36449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8535" cy="364490"/>
                    </a:xfrm>
                    <a:prstGeom prst="rect">
                      <a:avLst/>
                    </a:prstGeom>
                    <a:noFill/>
                  </pic:spPr>
                </pic:pic>
              </a:graphicData>
            </a:graphic>
            <wp14:sizeRelH relativeFrom="page">
              <wp14:pctWidth>0</wp14:pctWidth>
            </wp14:sizeRelH>
            <wp14:sizeRelV relativeFrom="page">
              <wp14:pctHeight>0</wp14:pctHeight>
            </wp14:sizeRelV>
          </wp:anchor>
        </w:drawing>
      </w:r>
      <w:r w:rsidR="007C5735" w:rsidRPr="007C5735">
        <w:rPr>
          <w:rFonts w:ascii="Times New Roman" w:eastAsia="Times New Roman" w:hAnsi="Times New Roman" w:cs="Times New Roman"/>
        </w:rPr>
        <w:t>L'entreprise devra donc réaliser les travaux en s'alignant sur ces dispositions, et dans le respect de l'environnement en général.</w:t>
      </w:r>
    </w:p>
    <w:p w:rsidR="007C5735" w:rsidRPr="007C5735" w:rsidRDefault="002035FD" w:rsidP="00924CEB">
      <w:pPr>
        <w:numPr>
          <w:ilvl w:val="0"/>
          <w:numId w:val="1"/>
        </w:numPr>
        <w:spacing w:after="100" w:afterAutospacing="1" w:line="119" w:lineRule="atLeast"/>
        <w:ind w:left="340" w:right="1814"/>
        <w:jc w:val="both"/>
        <w:rPr>
          <w:rFonts w:ascii="Times New Roman" w:eastAsia="Times New Roman" w:hAnsi="Times New Roman" w:cs="Times New Roman"/>
          <w:sz w:val="24"/>
          <w:szCs w:val="24"/>
        </w:rPr>
      </w:pPr>
      <w:r w:rsidRPr="000D21EA">
        <w:rPr>
          <w:rFonts w:ascii="Arial" w:eastAsia="Arial" w:hAnsi="Arial"/>
          <w:b/>
          <w:noProof/>
          <w:sz w:val="16"/>
        </w:rPr>
        <mc:AlternateContent>
          <mc:Choice Requires="wps">
            <w:drawing>
              <wp:anchor distT="0" distB="0" distL="114300" distR="114300" simplePos="0" relativeHeight="251660288" behindDoc="1" locked="0" layoutInCell="1" allowOverlap="1" wp14:anchorId="2EED1545" wp14:editId="5855BBF3">
                <wp:simplePos x="0" y="0"/>
                <wp:positionH relativeFrom="rightMargin">
                  <wp:align>left</wp:align>
                </wp:positionH>
                <wp:positionV relativeFrom="paragraph">
                  <wp:posOffset>202565</wp:posOffset>
                </wp:positionV>
                <wp:extent cx="194310" cy="40640"/>
                <wp:effectExtent l="0" t="0" r="15240" b="1651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40640"/>
                        </a:xfrm>
                        <a:prstGeom prst="rect">
                          <a:avLst/>
                        </a:prstGeom>
                        <a:solidFill>
                          <a:srgbClr val="314E9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BA1FE" id="Rectangle 7" o:spid="_x0000_s1026" style="position:absolute;margin-left:0;margin-top:15.95pt;width:15.3pt;height:3.2pt;z-index:-25165619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" fillcolor="#314e9f" strokecolor="white">
                <w10:wrap anchorx="margin"/>
              </v:rect>
            </w:pict>
          </mc:Fallback>
        </mc:AlternateContent>
      </w:r>
      <w:r w:rsidRPr="000D21EA">
        <w:rPr>
          <w:rFonts w:ascii="Arial" w:eastAsia="Arial" w:hAnsi="Arial"/>
          <w:b/>
          <w:noProof/>
          <w:sz w:val="16"/>
        </w:rPr>
        <mc:AlternateContent>
          <mc:Choice Requires="wps">
            <w:drawing>
              <wp:anchor distT="0" distB="0" distL="114300" distR="114300" simplePos="0" relativeHeight="251659264" behindDoc="1" locked="0" layoutInCell="1" allowOverlap="1" wp14:anchorId="5ABBCE7C" wp14:editId="71ED51FF">
                <wp:simplePos x="0" y="0"/>
                <wp:positionH relativeFrom="column">
                  <wp:posOffset>5513070</wp:posOffset>
                </wp:positionH>
                <wp:positionV relativeFrom="paragraph">
                  <wp:posOffset>205105</wp:posOffset>
                </wp:positionV>
                <wp:extent cx="194310" cy="40640"/>
                <wp:effectExtent l="3810" t="0" r="1905"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40640"/>
                        </a:xfrm>
                        <a:prstGeom prst="rect">
                          <a:avLst/>
                        </a:prstGeom>
                        <a:solidFill>
                          <a:srgbClr val="7EC6E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97C70" id="Rectangle 6" o:spid="_x0000_s1026" style="position:absolute;margin-left:434.1pt;margin-top:16.15pt;width:15.3pt;height: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" fillcolor="#7ec6ef" strokecolor="white"/>
            </w:pict>
          </mc:Fallback>
        </mc:AlternateContent>
      </w:r>
      <w:r w:rsidR="007C5735" w:rsidRPr="007C5735">
        <w:rPr>
          <w:rFonts w:ascii="Times New Roman" w:eastAsia="Times New Roman" w:hAnsi="Times New Roman" w:cs="Times New Roman"/>
        </w:rPr>
        <w:t xml:space="preserve">Dans le cas d'entreprises groupées, le respect de ces obligations par les </w:t>
      </w:r>
      <w:r w:rsidR="00862698" w:rsidRPr="007C5735">
        <w:rPr>
          <w:rFonts w:ascii="Times New Roman" w:eastAsia="Times New Roman" w:hAnsi="Times New Roman" w:cs="Times New Roman"/>
        </w:rPr>
        <w:t>cotraitants</w:t>
      </w:r>
      <w:r w:rsidR="007C5735" w:rsidRPr="007C5735">
        <w:rPr>
          <w:rFonts w:ascii="Times New Roman" w:eastAsia="Times New Roman" w:hAnsi="Times New Roman" w:cs="Times New Roman"/>
        </w:rPr>
        <w:t xml:space="preserve"> doit être assuré </w:t>
      </w:r>
      <w:r w:rsidR="00B15AFA">
        <w:rPr>
          <w:rFonts w:ascii="Times New Roman" w:eastAsia="Times New Roman" w:hAnsi="Times New Roman" w:cs="Times New Roman"/>
        </w:rPr>
        <w:t xml:space="preserve">  </w:t>
      </w:r>
      <w:r w:rsidR="007C5735" w:rsidRPr="007C5735">
        <w:rPr>
          <w:rFonts w:ascii="Times New Roman" w:eastAsia="Times New Roman" w:hAnsi="Times New Roman" w:cs="Times New Roman"/>
        </w:rPr>
        <w:t>à la diligence et sous la responsabilité du mandataire. Il en est de même pour les sous-traitants.</w:t>
      </w:r>
    </w:p>
    <w:p w:rsidR="007C5735" w:rsidRPr="009D456A" w:rsidRDefault="007C5735" w:rsidP="009D456A">
      <w:pPr>
        <w:numPr>
          <w:ilvl w:val="0"/>
          <w:numId w:val="2"/>
        </w:numPr>
        <w:autoSpaceDE w:val="0"/>
        <w:autoSpaceDN w:val="0"/>
        <w:adjustRightInd w:val="0"/>
        <w:ind w:left="340" w:right="1814"/>
        <w:jc w:val="both"/>
        <w:rPr>
          <w:rFonts w:ascii="Times New Roman" w:eastAsia="Times New Roman" w:hAnsi="Times New Roman" w:cs="Times New Roman"/>
        </w:rPr>
      </w:pPr>
      <w:r w:rsidRPr="007C5735">
        <w:rPr>
          <w:rFonts w:ascii="Times New Roman" w:eastAsia="Times New Roman" w:hAnsi="Times New Roman" w:cs="Times New Roman"/>
        </w:rPr>
        <w:t>L'entreprise disposera sur le chantier de matériel de lutte anti-pollution (produits absorbants, barrage flottant, kits…)</w:t>
      </w:r>
      <w:r w:rsidRPr="007C5735">
        <w:rPr>
          <w:rFonts w:ascii="Times New Roman" w:eastAsia="Times New Roman" w:hAnsi="Times New Roman" w:cs="Times New Roman"/>
          <w:b/>
          <w:bCs/>
        </w:rPr>
        <w:t xml:space="preserve"> </w:t>
      </w:r>
      <w:r w:rsidRPr="007C5735">
        <w:rPr>
          <w:rFonts w:ascii="Times New Roman" w:eastAsia="Times New Roman" w:hAnsi="Times New Roman" w:cs="Times New Roman"/>
        </w:rPr>
        <w:t>dimensionné en fonction des enjeux pour pouvoir intervenir rapidement en cas de déversement accidentel.</w:t>
      </w:r>
    </w:p>
    <w:p w:rsidR="007C5735" w:rsidRPr="007C5735" w:rsidRDefault="007C5735" w:rsidP="00924CEB">
      <w:pPr>
        <w:numPr>
          <w:ilvl w:val="0"/>
          <w:numId w:val="1"/>
        </w:numPr>
        <w:spacing w:after="100" w:afterAutospacing="1"/>
        <w:ind w:left="340" w:right="1814"/>
        <w:jc w:val="both"/>
        <w:rPr>
          <w:rFonts w:ascii="Times New Roman" w:eastAsia="Times New Roman" w:hAnsi="Times New Roman" w:cs="Times New Roman"/>
          <w:sz w:val="24"/>
          <w:szCs w:val="24"/>
        </w:rPr>
      </w:pPr>
      <w:r w:rsidRPr="007C5735">
        <w:rPr>
          <w:rFonts w:ascii="Times New Roman" w:eastAsia="Times New Roman" w:hAnsi="Times New Roman" w:cs="Times New Roman"/>
        </w:rPr>
        <w:t>En cas de pollution, Voies navigables de France devra immédiatement être informé afin d’avertir les services concernés. Les produits polluants récupérés devront être stockés dans un contenant étanche qui sera évacué vers la filière de traitement adaptée.</w:t>
      </w:r>
    </w:p>
    <w:p w:rsidR="007C5735" w:rsidRPr="007C5735" w:rsidRDefault="007C5735" w:rsidP="00924CEB">
      <w:pPr>
        <w:numPr>
          <w:ilvl w:val="0"/>
          <w:numId w:val="1"/>
        </w:numPr>
        <w:spacing w:after="100" w:afterAutospacing="1"/>
        <w:ind w:left="340" w:right="1814"/>
        <w:jc w:val="both"/>
        <w:rPr>
          <w:rFonts w:ascii="Times New Roman" w:eastAsia="Times New Roman" w:hAnsi="Times New Roman" w:cs="Times New Roman"/>
          <w:sz w:val="24"/>
          <w:szCs w:val="24"/>
        </w:rPr>
      </w:pPr>
      <w:r w:rsidRPr="007C5735">
        <w:rPr>
          <w:rFonts w:ascii="Times New Roman" w:eastAsia="Times New Roman" w:hAnsi="Times New Roman" w:cs="Times New Roman"/>
        </w:rPr>
        <w:t>Aucun entretien ou nettoyage d'engins ne sera réalisé sur site.</w:t>
      </w:r>
    </w:p>
    <w:p w:rsidR="007C5735" w:rsidRPr="009D456A" w:rsidRDefault="007C5735" w:rsidP="009D456A">
      <w:pPr>
        <w:numPr>
          <w:ilvl w:val="0"/>
          <w:numId w:val="1"/>
        </w:numPr>
        <w:autoSpaceDE w:val="0"/>
        <w:autoSpaceDN w:val="0"/>
        <w:adjustRightInd w:val="0"/>
        <w:ind w:left="340" w:right="1814"/>
        <w:jc w:val="both"/>
        <w:rPr>
          <w:rFonts w:ascii="Times New Roman" w:eastAsia="Times New Roman" w:hAnsi="Times New Roman" w:cs="Times New Roman"/>
        </w:rPr>
      </w:pPr>
      <w:r w:rsidRPr="007C5735">
        <w:rPr>
          <w:rFonts w:ascii="Times New Roman" w:eastAsia="Times New Roman" w:hAnsi="Times New Roman" w:cs="Times New Roman"/>
        </w:rPr>
        <w:t>Les pleins des véhicules ou les dépotages de produits dangereux seront réalisés sur une aire étanche et éloignée le plus possible de la voie d'eau et en dehors des aires de circulation des engins et du chantier. Si les conditions de chantier l’imposent, en cas de remplissage sur site, privilégier le ravitaillement des engins en carburant par camion-citerne équipé d'une pompe et d'un robinet de sécurité à arrêt automatique.</w:t>
      </w:r>
    </w:p>
    <w:p w:rsidR="007C5735" w:rsidRPr="007C5735" w:rsidRDefault="007C5735" w:rsidP="00924CEB">
      <w:pPr>
        <w:numPr>
          <w:ilvl w:val="0"/>
          <w:numId w:val="1"/>
        </w:numPr>
        <w:spacing w:after="100" w:afterAutospacing="1"/>
        <w:ind w:left="340" w:right="1814"/>
        <w:jc w:val="both"/>
        <w:rPr>
          <w:rFonts w:ascii="Times New Roman" w:eastAsia="Times New Roman" w:hAnsi="Times New Roman" w:cs="Times New Roman"/>
          <w:sz w:val="24"/>
          <w:szCs w:val="24"/>
        </w:rPr>
      </w:pPr>
      <w:r w:rsidRPr="007C5735">
        <w:rPr>
          <w:rFonts w:ascii="Times New Roman" w:eastAsia="Times New Roman" w:hAnsi="Times New Roman" w:cs="Times New Roman"/>
        </w:rPr>
        <w:t>Les engins de chantier devront être en bon état de fonctionnement et correctement entretenus.</w:t>
      </w:r>
    </w:p>
    <w:p w:rsidR="007C5735" w:rsidRPr="007C5735" w:rsidRDefault="007C5735" w:rsidP="00924CEB">
      <w:pPr>
        <w:numPr>
          <w:ilvl w:val="0"/>
          <w:numId w:val="1"/>
        </w:numPr>
        <w:autoSpaceDE w:val="0"/>
        <w:autoSpaceDN w:val="0"/>
        <w:adjustRightInd w:val="0"/>
        <w:ind w:left="340" w:right="1814"/>
        <w:jc w:val="both"/>
        <w:rPr>
          <w:rFonts w:ascii="Times New Roman" w:eastAsia="Times New Roman" w:hAnsi="Times New Roman" w:cs="Times New Roman"/>
        </w:rPr>
      </w:pPr>
      <w:r w:rsidRPr="007C5735">
        <w:rPr>
          <w:rFonts w:ascii="Times New Roman" w:eastAsia="Times New Roman" w:hAnsi="Times New Roman" w:cs="Times New Roman"/>
        </w:rPr>
        <w:t>Les hydrocarbures et produits polluants devront être manipulés avec précaution et stockés sur des dispositifs de rétention conformes à la réglementation afin d'éviter tout contact avec le sol et en dehors d’une zone soumise à ruissellement ou risque d’inondation et à l’abri des précipitations</w:t>
      </w:r>
    </w:p>
    <w:p w:rsidR="007C5735" w:rsidRPr="00E24380" w:rsidRDefault="009D456A" w:rsidP="009D456A">
      <w:pPr>
        <w:numPr>
          <w:ilvl w:val="0"/>
          <w:numId w:val="1"/>
        </w:numPr>
        <w:autoSpaceDE w:val="0"/>
        <w:autoSpaceDN w:val="0"/>
        <w:adjustRightInd w:val="0"/>
        <w:ind w:left="340" w:right="1814"/>
        <w:jc w:val="both"/>
        <w:rPr>
          <w:rFonts w:ascii="Times New Roman" w:eastAsia="Times New Roman" w:hAnsi="Times New Roman" w:cs="Times New Roman"/>
        </w:rPr>
      </w:pPr>
      <w:bookmarkStart w:id="1" w:name="_GoBack"/>
      <w:bookmarkEnd w:id="1"/>
      <w:r w:rsidRPr="00E24380">
        <w:rPr>
          <w:rFonts w:ascii="Times New Roman" w:hAnsi="Times New Roman" w:cs="Times New Roman"/>
        </w:rPr>
        <w:t>Le stockage temporaire de matériel, de matériaux ou de déchets devra être réalisé en dehors des zones de crue ou protégé contre leur action.</w:t>
      </w:r>
      <w:r w:rsidRPr="00E24380">
        <w:rPr>
          <w:rFonts w:ascii="Arial" w:hAnsi="Arial"/>
          <w:b/>
          <w:sz w:val="18"/>
          <w:szCs w:val="18"/>
        </w:rPr>
        <w:t xml:space="preserve"> </w:t>
      </w:r>
      <w:r w:rsidRPr="00E24380">
        <w:rPr>
          <w:rFonts w:ascii="Times New Roman" w:hAnsi="Times New Roman" w:cs="Times New Roman"/>
        </w:rPr>
        <w:t>En cas de période de pluies annoncées, l’entreprise devra se tenir informé de l’évolution des débits des cours d’eau et devra disposer, de jour comme de nuit, des moyens d’intervention permettant le repli des installations de chantier en cas de crue rapide.</w:t>
      </w:r>
    </w:p>
    <w:p w:rsidR="007C5735" w:rsidRPr="007C5735" w:rsidRDefault="007C5735" w:rsidP="00924CEB">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Pour le matériel de tronçonnage et d'élagage, des bidons spécifiques huiles et essences anti-goutte devront être utilisés (Interdiction d'employer tout autre récipient type bidon d'assouplissant, bouteille d'eau…).</w:t>
      </w:r>
    </w:p>
    <w:p w:rsidR="007C5735" w:rsidRPr="007C5735" w:rsidRDefault="007C5735" w:rsidP="00924CEB">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Les stocks d'hydrocarbures devront se limiter aux besoins journaliers.</w:t>
      </w:r>
    </w:p>
    <w:p w:rsidR="00400B4A" w:rsidRPr="00422348" w:rsidRDefault="007C5735" w:rsidP="00924CEB">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L'entreprise devra respecter la faune et la flore, plus particulièrement la vie piscicole</w:t>
      </w:r>
      <w:r w:rsidR="00A23A6F">
        <w:rPr>
          <w:rFonts w:ascii="Times New Roman" w:eastAsia="Times New Roman" w:hAnsi="Times New Roman" w:cs="Times New Roman"/>
        </w:rPr>
        <w:t>.</w:t>
      </w:r>
    </w:p>
    <w:p w:rsidR="00422348" w:rsidRDefault="00422348" w:rsidP="00422348">
      <w:pPr>
        <w:spacing w:after="100" w:afterAutospacing="1"/>
        <w:ind w:right="1814"/>
        <w:jc w:val="both"/>
        <w:rPr>
          <w:rFonts w:ascii="Times New Roman" w:eastAsia="Times New Roman" w:hAnsi="Times New Roman" w:cs="Times New Roman"/>
        </w:rPr>
      </w:pPr>
    </w:p>
    <w:p w:rsidR="00422348" w:rsidRPr="00E221E3" w:rsidRDefault="00FA574D" w:rsidP="00422348">
      <w:pPr>
        <w:jc w:val="center"/>
        <w:rPr>
          <w:rFonts w:ascii="Arial" w:hAnsi="Arial"/>
          <w:sz w:val="16"/>
          <w:szCs w:val="16"/>
          <w:lang w:eastAsia="en-US"/>
        </w:rPr>
      </w:pPr>
      <w:r>
        <w:rPr>
          <w:rFonts w:ascii="Arial" w:hAnsi="Arial"/>
          <w:sz w:val="16"/>
          <w:szCs w:val="16"/>
        </w:rPr>
        <w:t xml:space="preserve">Voies Navigables de France – UTI Canal des Vosges - </w:t>
      </w:r>
      <w:r w:rsidR="00422348" w:rsidRPr="00E221E3">
        <w:rPr>
          <w:rFonts w:ascii="Arial" w:hAnsi="Arial"/>
          <w:sz w:val="16"/>
          <w:szCs w:val="16"/>
          <w:lang w:eastAsia="en-US"/>
        </w:rPr>
        <w:t>1 avenue de la Fontenelle – BP 266 – 88007 EPINAL Cedex</w:t>
      </w:r>
    </w:p>
    <w:p w:rsidR="00422348" w:rsidRPr="00E221E3" w:rsidRDefault="00422348" w:rsidP="00422348">
      <w:pPr>
        <w:pBdr>
          <w:bottom w:val="single" w:sz="2" w:space="1" w:color="auto"/>
        </w:pBdr>
        <w:tabs>
          <w:tab w:val="center" w:pos="1701"/>
          <w:tab w:val="center" w:pos="3828"/>
          <w:tab w:val="center" w:pos="5954"/>
        </w:tabs>
        <w:jc w:val="center"/>
        <w:rPr>
          <w:rFonts w:ascii="Arial" w:hAnsi="Arial"/>
          <w:sz w:val="16"/>
          <w:szCs w:val="16"/>
          <w:lang w:eastAsia="en-US"/>
        </w:rPr>
      </w:pPr>
      <w:r w:rsidRPr="00E221E3">
        <w:rPr>
          <w:rFonts w:ascii="Arial" w:hAnsi="Arial"/>
          <w:sz w:val="16"/>
          <w:szCs w:val="16"/>
          <w:lang w:eastAsia="en-US"/>
        </w:rPr>
        <w:t>T. +33 (0)3 29 34 19 63     F. +33 (0)3 29 31 14 30     www.vnf.fr</w:t>
      </w:r>
    </w:p>
    <w:p w:rsidR="00422348" w:rsidRPr="00E221E3" w:rsidRDefault="00422348" w:rsidP="00422348">
      <w:pPr>
        <w:pBdr>
          <w:bottom w:val="single" w:sz="2" w:space="1" w:color="auto"/>
        </w:pBdr>
        <w:tabs>
          <w:tab w:val="center" w:pos="1701"/>
          <w:tab w:val="center" w:pos="3828"/>
          <w:tab w:val="center" w:pos="5954"/>
        </w:tabs>
        <w:jc w:val="center"/>
        <w:rPr>
          <w:rFonts w:ascii="Arial" w:hAnsi="Arial"/>
          <w:sz w:val="8"/>
          <w:szCs w:val="16"/>
          <w:lang w:eastAsia="en-US"/>
        </w:rPr>
      </w:pPr>
    </w:p>
    <w:p w:rsidR="00422348" w:rsidRPr="00E221E3" w:rsidRDefault="00422348" w:rsidP="00422348">
      <w:pPr>
        <w:tabs>
          <w:tab w:val="center" w:pos="1701"/>
          <w:tab w:val="center" w:pos="3828"/>
          <w:tab w:val="center" w:pos="5954"/>
        </w:tabs>
        <w:rPr>
          <w:rFonts w:cs="Times New Roman"/>
          <w:sz w:val="6"/>
          <w:szCs w:val="6"/>
          <w:lang w:eastAsia="en-US"/>
        </w:rPr>
      </w:pPr>
    </w:p>
    <w:p w:rsidR="00422348" w:rsidRPr="00E221E3" w:rsidRDefault="00422348" w:rsidP="00422348">
      <w:pPr>
        <w:tabs>
          <w:tab w:val="center" w:pos="1701"/>
          <w:tab w:val="center" w:pos="3828"/>
          <w:tab w:val="center" w:pos="5954"/>
        </w:tabs>
        <w:jc w:val="center"/>
        <w:rPr>
          <w:rFonts w:ascii="Arial" w:hAnsi="Arial"/>
          <w:sz w:val="11"/>
          <w:szCs w:val="11"/>
          <w:lang w:eastAsia="en-US"/>
        </w:rPr>
      </w:pPr>
      <w:r w:rsidRPr="00E221E3">
        <w:rPr>
          <w:rFonts w:ascii="Arial" w:hAnsi="Arial"/>
          <w:sz w:val="11"/>
          <w:szCs w:val="11"/>
          <w:lang w:eastAsia="en-US"/>
        </w:rPr>
        <w:t>Établissement public de l’État à caractère administratif,</w:t>
      </w:r>
      <w:r w:rsidRPr="00E221E3">
        <w:rPr>
          <w:rFonts w:ascii="Arial" w:hAnsi="Arial"/>
          <w:sz w:val="11"/>
          <w:szCs w:val="11"/>
          <w:lang w:eastAsia="en-US"/>
        </w:rPr>
        <w:br/>
        <w:t>article L 4311-1 du code des transports TVA intracommunautaire FR 89 130 017 791</w:t>
      </w:r>
      <w:r w:rsidRPr="00E221E3">
        <w:rPr>
          <w:rFonts w:ascii="Arial" w:hAnsi="Arial"/>
          <w:sz w:val="11"/>
          <w:szCs w:val="11"/>
          <w:lang w:eastAsia="en-US"/>
        </w:rPr>
        <w:br/>
        <w:t>SIRET 130 017 791 00646, Compte bancaire : Agent comptable de VNF, ouvert à la DDFIP de Meurthe et Moselle</w:t>
      </w:r>
    </w:p>
    <w:p w:rsidR="00422348" w:rsidRDefault="00422348" w:rsidP="00422348">
      <w:pPr>
        <w:spacing w:after="100" w:afterAutospacing="1"/>
        <w:ind w:right="1814"/>
        <w:jc w:val="both"/>
        <w:rPr>
          <w:rFonts w:ascii="Times New Roman" w:eastAsia="Times New Roman" w:hAnsi="Times New Roman" w:cs="Times New Roman"/>
        </w:rPr>
      </w:pPr>
      <w:r>
        <w:rPr>
          <w:rFonts w:ascii="Arial" w:hAnsi="Arial"/>
          <w:sz w:val="11"/>
          <w:szCs w:val="11"/>
          <w:lang w:val="en-US" w:eastAsia="en-US"/>
        </w:rPr>
        <w:t xml:space="preserve">                                                                               </w:t>
      </w:r>
      <w:r w:rsidRPr="00E221E3">
        <w:rPr>
          <w:rFonts w:ascii="Arial" w:hAnsi="Arial"/>
          <w:sz w:val="11"/>
          <w:szCs w:val="11"/>
          <w:lang w:val="en-US" w:eastAsia="en-US"/>
        </w:rPr>
        <w:t>N° 10071 54000 00001002602 – IBAN FR76 1007 1540 0000 0010 0260 275 – BIC n°TRPUFRP1</w:t>
      </w:r>
    </w:p>
    <w:p w:rsidR="00422348" w:rsidRDefault="00422348" w:rsidP="00422348">
      <w:pPr>
        <w:spacing w:after="100" w:afterAutospacing="1"/>
        <w:ind w:right="1814"/>
        <w:jc w:val="both"/>
        <w:rPr>
          <w:rFonts w:ascii="Times New Roman" w:eastAsia="Times New Roman" w:hAnsi="Times New Roman" w:cs="Times New Roman"/>
        </w:rPr>
      </w:pPr>
    </w:p>
    <w:p w:rsidR="00422348" w:rsidRDefault="00422348" w:rsidP="00422348">
      <w:pPr>
        <w:spacing w:after="100" w:afterAutospacing="1"/>
        <w:ind w:right="1814"/>
        <w:jc w:val="both"/>
        <w:rPr>
          <w:rFonts w:ascii="Times New Roman" w:eastAsia="Times New Roman" w:hAnsi="Times New Roman" w:cs="Times New Roman"/>
        </w:rPr>
      </w:pPr>
    </w:p>
    <w:p w:rsidR="00422348" w:rsidRPr="00400B4A" w:rsidRDefault="00422348" w:rsidP="00422348">
      <w:pPr>
        <w:spacing w:after="100" w:afterAutospacing="1"/>
        <w:ind w:right="1814"/>
        <w:jc w:val="both"/>
        <w:rPr>
          <w:rFonts w:ascii="Times New Roman" w:eastAsia="Times New Roman" w:hAnsi="Times New Roman" w:cs="Times New Roman"/>
          <w:sz w:val="24"/>
          <w:szCs w:val="24"/>
        </w:rPr>
      </w:pPr>
    </w:p>
    <w:p w:rsidR="000C5109" w:rsidRPr="005625E1" w:rsidRDefault="007C5735" w:rsidP="000C5109">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 xml:space="preserve">Une attention particulière sera portée à la qualité des remblais qui devront être inertes et provenir de zones exemptes d'espèces invasives (Renouée du japon, Balsamine de l'Himalaya et Ambroisie à feuilles d’armoise). </w:t>
      </w:r>
    </w:p>
    <w:p w:rsidR="007C5735" w:rsidRPr="007C5735" w:rsidRDefault="007C5735" w:rsidP="00924CEB">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L'usage des produits phytosanitaires est interdit</w:t>
      </w:r>
    </w:p>
    <w:p w:rsidR="001A4FB1" w:rsidRPr="007C5735" w:rsidRDefault="007C5735" w:rsidP="001A4FB1">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 xml:space="preserve">Il est interdit de brûler, </w:t>
      </w:r>
      <w:r w:rsidRPr="007C5735">
        <w:rPr>
          <w:rFonts w:ascii="Times New Roman" w:eastAsia="Times New Roman" w:hAnsi="Times New Roman" w:cs="Times New Roman"/>
          <w:bCs/>
        </w:rPr>
        <w:t>d'abandonner</w:t>
      </w:r>
      <w:r w:rsidRPr="007C5735">
        <w:rPr>
          <w:rFonts w:ascii="Times New Roman" w:eastAsia="Times New Roman" w:hAnsi="Times New Roman" w:cs="Times New Roman"/>
        </w:rPr>
        <w:t xml:space="preserve"> ou d'enfouir les déchets de chantier. Les déchets seront obligatoirement </w:t>
      </w:r>
      <w:r w:rsidRPr="007C5735">
        <w:rPr>
          <w:rFonts w:ascii="Times New Roman" w:eastAsia="Times New Roman" w:hAnsi="Times New Roman" w:cs="Times New Roman"/>
          <w:bCs/>
        </w:rPr>
        <w:t>stockés</w:t>
      </w:r>
      <w:r w:rsidRPr="007C5735">
        <w:rPr>
          <w:rFonts w:ascii="Times New Roman" w:eastAsia="Times New Roman" w:hAnsi="Times New Roman" w:cs="Times New Roman"/>
          <w:b/>
          <w:bCs/>
        </w:rPr>
        <w:t xml:space="preserve"> </w:t>
      </w:r>
      <w:r w:rsidRPr="007C5735">
        <w:rPr>
          <w:rFonts w:ascii="Times New Roman" w:eastAsia="Times New Roman" w:hAnsi="Times New Roman" w:cs="Times New Roman"/>
        </w:rPr>
        <w:t>dans une benne avant évacuation</w:t>
      </w:r>
    </w:p>
    <w:p w:rsidR="007C5735" w:rsidRDefault="001A4FB1" w:rsidP="00924CEB">
      <w:pPr>
        <w:numPr>
          <w:ilvl w:val="0"/>
          <w:numId w:val="1"/>
        </w:numPr>
        <w:spacing w:after="100" w:afterAutospacing="1"/>
        <w:ind w:left="340" w:right="1814" w:hanging="357"/>
        <w:jc w:val="both"/>
        <w:rPr>
          <w:rFonts w:ascii="Times New Roman" w:eastAsia="Times New Roman" w:hAnsi="Times New Roman" w:cs="Times New Roman"/>
        </w:rPr>
      </w:pPr>
      <w:r>
        <w:rPr>
          <w:rFonts w:ascii="Times New Roman" w:eastAsia="Times New Roman" w:hAnsi="Times New Roman" w:cs="Times New Roman"/>
        </w:rPr>
        <w:t xml:space="preserve">Le </w:t>
      </w:r>
      <w:r w:rsidR="007C5735" w:rsidRPr="007C5735">
        <w:rPr>
          <w:rFonts w:ascii="Times New Roman" w:eastAsia="Times New Roman" w:hAnsi="Times New Roman" w:cs="Times New Roman"/>
        </w:rPr>
        <w:t>rejet de laitance de béton ou autre effluent liquide dans le milieu naturel est interdit.</w:t>
      </w:r>
    </w:p>
    <w:p w:rsidR="007C5735" w:rsidRPr="002614A5" w:rsidRDefault="007C5735" w:rsidP="002614A5">
      <w:pPr>
        <w:numPr>
          <w:ilvl w:val="0"/>
          <w:numId w:val="1"/>
        </w:numPr>
        <w:spacing w:after="100" w:afterAutospacing="1"/>
        <w:ind w:left="340" w:right="1814" w:hanging="357"/>
        <w:jc w:val="both"/>
        <w:rPr>
          <w:rFonts w:ascii="Times New Roman" w:eastAsia="Times New Roman" w:hAnsi="Times New Roman" w:cs="Times New Roman"/>
        </w:rPr>
      </w:pPr>
      <w:r w:rsidRPr="002614A5">
        <w:rPr>
          <w:rFonts w:ascii="Times New Roman" w:eastAsia="Times New Roman" w:hAnsi="Times New Roman" w:cs="Times New Roman"/>
        </w:rPr>
        <w:t xml:space="preserve">En cas d’absence de sanitaires accessibles, présence de </w:t>
      </w:r>
      <w:r w:rsidRPr="002614A5">
        <w:rPr>
          <w:rFonts w:ascii="Times New Roman" w:eastAsia="Times New Roman" w:hAnsi="Times New Roman" w:cs="Times New Roman"/>
          <w:b/>
          <w:bCs/>
        </w:rPr>
        <w:t xml:space="preserve">sanitaires mobiles </w:t>
      </w:r>
      <w:r w:rsidRPr="002614A5">
        <w:rPr>
          <w:rFonts w:ascii="Times New Roman" w:eastAsia="Times New Roman" w:hAnsi="Times New Roman" w:cs="Times New Roman"/>
        </w:rPr>
        <w:t>sur le chantier régulièrement nettoyés et vidangés</w:t>
      </w:r>
    </w:p>
    <w:p w:rsidR="007C5735" w:rsidRPr="00401D9D" w:rsidRDefault="007C5735" w:rsidP="00924CEB">
      <w:pPr>
        <w:numPr>
          <w:ilvl w:val="0"/>
          <w:numId w:val="1"/>
        </w:numPr>
        <w:spacing w:after="100" w:afterAutospacing="1"/>
        <w:ind w:left="340" w:right="1814"/>
        <w:jc w:val="both"/>
        <w:rPr>
          <w:rFonts w:ascii="Times New Roman" w:eastAsia="Times New Roman" w:hAnsi="Times New Roman" w:cs="Times New Roman"/>
          <w:sz w:val="24"/>
          <w:szCs w:val="24"/>
        </w:rPr>
      </w:pPr>
      <w:r w:rsidRPr="00401D9D">
        <w:rPr>
          <w:rFonts w:ascii="Times New Roman" w:eastAsia="Times New Roman" w:hAnsi="Times New Roman" w:cs="Times New Roman"/>
        </w:rPr>
        <w:t>Les dispositions du code de l'environnement</w:t>
      </w:r>
      <w:r w:rsidR="00401D9D" w:rsidRPr="00401D9D">
        <w:rPr>
          <w:rFonts w:ascii="Times New Roman" w:eastAsia="Times New Roman" w:hAnsi="Times New Roman" w:cs="Times New Roman"/>
        </w:rPr>
        <w:t xml:space="preserve"> </w:t>
      </w:r>
      <w:r w:rsidR="00644331">
        <w:rPr>
          <w:rFonts w:ascii="Times New Roman" w:eastAsia="Times New Roman" w:hAnsi="Times New Roman" w:cs="Times New Roman"/>
        </w:rPr>
        <w:t xml:space="preserve">et </w:t>
      </w:r>
      <w:r w:rsidR="00401D9D" w:rsidRPr="00401D9D">
        <w:rPr>
          <w:rFonts w:ascii="Times New Roman" w:eastAsia="Times New Roman" w:hAnsi="Times New Roman" w:cs="Times New Roman"/>
        </w:rPr>
        <w:t>d</w:t>
      </w:r>
      <w:r w:rsidRPr="00401D9D">
        <w:rPr>
          <w:rFonts w:ascii="Times New Roman" w:eastAsia="Times New Roman" w:hAnsi="Times New Roman" w:cs="Times New Roman"/>
        </w:rPr>
        <w:t>es exigences locales (arrêtés préfectoraux et arrêtés municipaux) devront être respectées</w:t>
      </w:r>
      <w:r w:rsidR="007B1B05" w:rsidRPr="00401D9D">
        <w:rPr>
          <w:rFonts w:ascii="Times New Roman" w:eastAsia="Times New Roman" w:hAnsi="Times New Roman" w:cs="Times New Roman"/>
        </w:rPr>
        <w:t>.</w:t>
      </w:r>
    </w:p>
    <w:p w:rsidR="007C5735" w:rsidRPr="007C5735" w:rsidRDefault="007C5735" w:rsidP="00924CEB">
      <w:pPr>
        <w:numPr>
          <w:ilvl w:val="0"/>
          <w:numId w:val="1"/>
        </w:numPr>
        <w:spacing w:after="100" w:afterAutospacing="1"/>
        <w:ind w:left="340" w:right="1814" w:hanging="357"/>
        <w:jc w:val="both"/>
        <w:rPr>
          <w:rFonts w:ascii="Times New Roman" w:eastAsia="Times New Roman" w:hAnsi="Times New Roman" w:cs="Times New Roman"/>
          <w:sz w:val="24"/>
          <w:szCs w:val="24"/>
        </w:rPr>
      </w:pPr>
      <w:r w:rsidRPr="007C5735">
        <w:rPr>
          <w:rFonts w:ascii="Times New Roman" w:eastAsia="Times New Roman" w:hAnsi="Times New Roman" w:cs="Times New Roman"/>
        </w:rPr>
        <w:t>Tout manquement au respect des prescriptions et toute atteinte à l'environnement et à la qualité de l'eau, entraîneront l'arrêt immédiat du chantier sans que l'entreprise puisse prétendre à une quelconque indemnité, jusqu'à la remise à l'état initial aux frais de l'entrepreneur.</w:t>
      </w:r>
    </w:p>
    <w:p w:rsidR="00BA1F57" w:rsidRPr="00024DBC" w:rsidRDefault="00A8379D" w:rsidP="001C78E1">
      <w:pPr>
        <w:spacing w:line="0" w:lineRule="atLeast"/>
        <w:jc w:val="both"/>
        <w:rPr>
          <w:rFonts w:ascii="Times New Roman" w:eastAsia="Arial" w:hAnsi="Times New Roman" w:cs="Times New Roman"/>
        </w:rPr>
      </w:pPr>
      <w:r w:rsidRPr="00024DBC">
        <w:rPr>
          <w:rFonts w:ascii="Times New Roman" w:eastAsia="Arial" w:hAnsi="Times New Roman" w:cs="Times New Roman"/>
        </w:rPr>
        <w:t>.</w:t>
      </w:r>
    </w:p>
    <w:p w:rsidR="00BA1F57" w:rsidRDefault="00BA1F57">
      <w:pPr>
        <w:spacing w:line="246" w:lineRule="exact"/>
        <w:rPr>
          <w:rFonts w:ascii="Times New Roman" w:eastAsia="Times New Roman" w:hAnsi="Times New Roman"/>
          <w:sz w:val="24"/>
        </w:rPr>
      </w:pPr>
    </w:p>
    <w:p w:rsidR="00F22A26" w:rsidRPr="001D018C" w:rsidRDefault="00F22A26">
      <w:pPr>
        <w:spacing w:line="0" w:lineRule="atLeast"/>
        <w:ind w:right="1686"/>
        <w:jc w:val="right"/>
        <w:rPr>
          <w:rFonts w:ascii="Times New Roman" w:eastAsia="Arial" w:hAnsi="Times New Roman" w:cs="Times New Roman"/>
        </w:rPr>
      </w:pPr>
    </w:p>
    <w:p w:rsidR="00F22A26" w:rsidRDefault="00F22A26">
      <w:pPr>
        <w:spacing w:line="0" w:lineRule="atLeast"/>
        <w:ind w:right="1686"/>
        <w:jc w:val="right"/>
        <w:rPr>
          <w:rFonts w:ascii="Arial" w:eastAsia="Arial" w:hAnsi="Arial"/>
          <w:sz w:val="16"/>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E221E3" w:rsidRDefault="00E221E3">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1A4FB1" w:rsidRDefault="001A4FB1">
      <w:pPr>
        <w:spacing w:line="200" w:lineRule="exact"/>
        <w:rPr>
          <w:rFonts w:ascii="Times New Roman" w:eastAsia="Times New Roman" w:hAnsi="Times New Roman"/>
          <w:sz w:val="24"/>
        </w:rPr>
      </w:pPr>
    </w:p>
    <w:p w:rsidR="00341EB4" w:rsidRDefault="00341EB4">
      <w:pPr>
        <w:spacing w:line="200" w:lineRule="exact"/>
        <w:rPr>
          <w:rFonts w:ascii="Times New Roman" w:eastAsia="Times New Roman" w:hAnsi="Times New Roman"/>
          <w:sz w:val="24"/>
        </w:rPr>
      </w:pPr>
    </w:p>
    <w:p w:rsidR="00341EB4" w:rsidRDefault="00341EB4">
      <w:pPr>
        <w:spacing w:line="200" w:lineRule="exact"/>
        <w:rPr>
          <w:rFonts w:ascii="Times New Roman" w:eastAsia="Times New Roman" w:hAnsi="Times New Roman"/>
          <w:sz w:val="24"/>
        </w:rPr>
      </w:pPr>
    </w:p>
    <w:p w:rsidR="00BA1F57" w:rsidRDefault="00BA1F57">
      <w:pPr>
        <w:spacing w:line="200" w:lineRule="exact"/>
        <w:rPr>
          <w:rFonts w:ascii="Times New Roman" w:eastAsia="Times New Roman" w:hAnsi="Times New Roman"/>
          <w:sz w:val="24"/>
        </w:rPr>
      </w:pPr>
    </w:p>
    <w:p w:rsidR="00E221E3" w:rsidRPr="00E221E3" w:rsidRDefault="00FA574D" w:rsidP="00E221E3">
      <w:pPr>
        <w:jc w:val="center"/>
        <w:rPr>
          <w:rFonts w:ascii="Arial" w:hAnsi="Arial"/>
          <w:sz w:val="16"/>
          <w:szCs w:val="16"/>
          <w:lang w:eastAsia="en-US"/>
        </w:rPr>
      </w:pPr>
      <w:r>
        <w:rPr>
          <w:rFonts w:ascii="Arial" w:hAnsi="Arial"/>
          <w:sz w:val="16"/>
          <w:szCs w:val="16"/>
        </w:rPr>
        <w:t xml:space="preserve">Voies Navigables de France – UTI Canal des Vosges - </w:t>
      </w:r>
      <w:r w:rsidR="00E221E3" w:rsidRPr="00E221E3">
        <w:rPr>
          <w:rFonts w:ascii="Arial" w:hAnsi="Arial"/>
          <w:sz w:val="16"/>
          <w:szCs w:val="16"/>
          <w:lang w:eastAsia="en-US"/>
        </w:rPr>
        <w:t>1 avenue de la Fontenelle – BP 266 – 88007 EPINAL Cedex</w:t>
      </w:r>
    </w:p>
    <w:p w:rsidR="00E221E3" w:rsidRPr="00E221E3" w:rsidRDefault="00E221E3" w:rsidP="00E221E3">
      <w:pPr>
        <w:pBdr>
          <w:bottom w:val="single" w:sz="2" w:space="1" w:color="auto"/>
        </w:pBdr>
        <w:tabs>
          <w:tab w:val="center" w:pos="1701"/>
          <w:tab w:val="center" w:pos="3828"/>
          <w:tab w:val="center" w:pos="5954"/>
        </w:tabs>
        <w:jc w:val="center"/>
        <w:rPr>
          <w:rFonts w:ascii="Arial" w:hAnsi="Arial"/>
          <w:sz w:val="16"/>
          <w:szCs w:val="16"/>
          <w:lang w:eastAsia="en-US"/>
        </w:rPr>
      </w:pPr>
      <w:r w:rsidRPr="00E221E3">
        <w:rPr>
          <w:rFonts w:ascii="Arial" w:hAnsi="Arial"/>
          <w:sz w:val="16"/>
          <w:szCs w:val="16"/>
          <w:lang w:eastAsia="en-US"/>
        </w:rPr>
        <w:t>T. +33 (0)3 29 34 19 63     F. +33 (0)3 29 31 14 30     www.vnf.fr</w:t>
      </w:r>
    </w:p>
    <w:p w:rsidR="00E221E3" w:rsidRPr="00E221E3" w:rsidRDefault="00E221E3" w:rsidP="00E221E3">
      <w:pPr>
        <w:pBdr>
          <w:bottom w:val="single" w:sz="2" w:space="1" w:color="auto"/>
        </w:pBdr>
        <w:tabs>
          <w:tab w:val="center" w:pos="1701"/>
          <w:tab w:val="center" w:pos="3828"/>
          <w:tab w:val="center" w:pos="5954"/>
        </w:tabs>
        <w:jc w:val="center"/>
        <w:rPr>
          <w:rFonts w:ascii="Arial" w:hAnsi="Arial"/>
          <w:sz w:val="8"/>
          <w:szCs w:val="16"/>
          <w:lang w:eastAsia="en-US"/>
        </w:rPr>
      </w:pPr>
    </w:p>
    <w:p w:rsidR="00E221E3" w:rsidRPr="00E221E3" w:rsidRDefault="00E221E3" w:rsidP="00E221E3">
      <w:pPr>
        <w:tabs>
          <w:tab w:val="center" w:pos="1701"/>
          <w:tab w:val="center" w:pos="3828"/>
          <w:tab w:val="center" w:pos="5954"/>
        </w:tabs>
        <w:rPr>
          <w:rFonts w:cs="Times New Roman"/>
          <w:sz w:val="6"/>
          <w:szCs w:val="6"/>
          <w:lang w:eastAsia="en-US"/>
        </w:rPr>
      </w:pPr>
    </w:p>
    <w:p w:rsidR="00E221E3" w:rsidRPr="00E221E3" w:rsidRDefault="00E221E3" w:rsidP="00E221E3">
      <w:pPr>
        <w:tabs>
          <w:tab w:val="center" w:pos="1701"/>
          <w:tab w:val="center" w:pos="3828"/>
          <w:tab w:val="center" w:pos="5954"/>
        </w:tabs>
        <w:jc w:val="center"/>
        <w:rPr>
          <w:rFonts w:ascii="Arial" w:hAnsi="Arial"/>
          <w:sz w:val="11"/>
          <w:szCs w:val="11"/>
          <w:lang w:eastAsia="en-US"/>
        </w:rPr>
      </w:pPr>
      <w:r w:rsidRPr="00E221E3">
        <w:rPr>
          <w:rFonts w:ascii="Arial" w:hAnsi="Arial"/>
          <w:sz w:val="11"/>
          <w:szCs w:val="11"/>
          <w:lang w:eastAsia="en-US"/>
        </w:rPr>
        <w:t>Établissement public de l’État à caractère administratif,</w:t>
      </w:r>
      <w:r w:rsidRPr="00E221E3">
        <w:rPr>
          <w:rFonts w:ascii="Arial" w:hAnsi="Arial"/>
          <w:sz w:val="11"/>
          <w:szCs w:val="11"/>
          <w:lang w:eastAsia="en-US"/>
        </w:rPr>
        <w:br/>
        <w:t>article L 4311-1 du code des transports TVA intracommunautaire FR 89 130 017 791</w:t>
      </w:r>
      <w:r w:rsidRPr="00E221E3">
        <w:rPr>
          <w:rFonts w:ascii="Arial" w:hAnsi="Arial"/>
          <w:sz w:val="11"/>
          <w:szCs w:val="11"/>
          <w:lang w:eastAsia="en-US"/>
        </w:rPr>
        <w:br/>
        <w:t>SIRET 130 017 791 00646, Compte bancaire : Agent comptable de VNF, ouvert à la DDFIP de Meurthe et Moselle</w:t>
      </w:r>
    </w:p>
    <w:p w:rsidR="00BA1F57" w:rsidRPr="00E46B7E" w:rsidRDefault="00E221E3" w:rsidP="00E46B7E">
      <w:pPr>
        <w:tabs>
          <w:tab w:val="center" w:pos="1701"/>
          <w:tab w:val="center" w:pos="3828"/>
          <w:tab w:val="center" w:pos="5954"/>
        </w:tabs>
        <w:jc w:val="center"/>
        <w:rPr>
          <w:rFonts w:ascii="Arial" w:hAnsi="Arial"/>
          <w:sz w:val="11"/>
          <w:szCs w:val="11"/>
          <w:lang w:val="en-US" w:eastAsia="en-US"/>
        </w:rPr>
      </w:pPr>
      <w:r w:rsidRPr="00E221E3">
        <w:rPr>
          <w:rFonts w:ascii="Arial" w:hAnsi="Arial"/>
          <w:sz w:val="11"/>
          <w:szCs w:val="11"/>
          <w:lang w:val="en-US" w:eastAsia="en-US"/>
        </w:rPr>
        <w:t>N° 10071 54000 00001002602 – IBAN FR76 1007 1540 0000 0010 0260 275 – BIC n°TRPUFRP1</w:t>
      </w:r>
      <w:r w:rsidRPr="00E221E3">
        <w:rPr>
          <w:rFonts w:ascii="Arial" w:hAnsi="Arial"/>
          <w:sz w:val="11"/>
          <w:szCs w:val="11"/>
          <w:lang w:val="en-US" w:eastAsia="en-US"/>
        </w:rPr>
        <w:br/>
      </w:r>
    </w:p>
    <w:sectPr w:rsidR="00BA1F57" w:rsidRPr="00E46B7E">
      <w:type w:val="continuous"/>
      <w:pgSz w:w="11900" w:h="16838"/>
      <w:pgMar w:top="1440" w:right="1440" w:bottom="0" w:left="860" w:header="0" w:footer="0" w:gutter="0"/>
      <w:cols w:space="0" w:equalWidth="0">
        <w:col w:w="96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ED9" w:rsidRDefault="00CD6ED9" w:rsidP="00F139DA">
      <w:r>
        <w:separator/>
      </w:r>
    </w:p>
  </w:endnote>
  <w:endnote w:type="continuationSeparator" w:id="0">
    <w:p w:rsidR="00CD6ED9" w:rsidRDefault="00CD6ED9" w:rsidP="00F13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ED9" w:rsidRDefault="00CD6ED9" w:rsidP="00F139DA">
      <w:r>
        <w:separator/>
      </w:r>
    </w:p>
  </w:footnote>
  <w:footnote w:type="continuationSeparator" w:id="0">
    <w:p w:rsidR="00CD6ED9" w:rsidRDefault="00CD6ED9" w:rsidP="00F13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1E7430"/>
    <w:multiLevelType w:val="hybridMultilevel"/>
    <w:tmpl w:val="367207C0"/>
    <w:lvl w:ilvl="0" w:tplc="99C00568">
      <w:start w:val="1"/>
      <w:numFmt w:val="bullet"/>
      <w:lvlText w:val=""/>
      <w:lvlJc w:val="left"/>
      <w:pPr>
        <w:tabs>
          <w:tab w:val="num" w:pos="720"/>
        </w:tabs>
        <w:ind w:left="720" w:hanging="360"/>
      </w:pPr>
      <w:rPr>
        <w:rFonts w:ascii="Symbol" w:hAnsi="Symbol" w:hint="default"/>
        <w:sz w:val="20"/>
      </w:rPr>
    </w:lvl>
    <w:lvl w:ilvl="1" w:tplc="BF48AD46">
      <w:start w:val="1"/>
      <w:numFmt w:val="bullet"/>
      <w:lvlText w:val="o"/>
      <w:lvlJc w:val="left"/>
      <w:pPr>
        <w:tabs>
          <w:tab w:val="num" w:pos="1440"/>
        </w:tabs>
        <w:ind w:left="1440" w:hanging="360"/>
      </w:pPr>
      <w:rPr>
        <w:rFonts w:ascii="Courier New" w:hAnsi="Courier New" w:hint="default"/>
        <w:sz w:val="20"/>
      </w:rPr>
    </w:lvl>
    <w:lvl w:ilvl="2" w:tplc="ED9AD178">
      <w:start w:val="1"/>
      <w:numFmt w:val="bullet"/>
      <w:lvlText w:val=""/>
      <w:lvlJc w:val="left"/>
      <w:pPr>
        <w:tabs>
          <w:tab w:val="num" w:pos="2160"/>
        </w:tabs>
        <w:ind w:left="2160" w:hanging="360"/>
      </w:pPr>
      <w:rPr>
        <w:rFonts w:ascii="Wingdings" w:hAnsi="Wingdings" w:hint="default"/>
        <w:sz w:val="20"/>
      </w:rPr>
    </w:lvl>
    <w:lvl w:ilvl="3" w:tplc="62BE81D6" w:tentative="1">
      <w:start w:val="1"/>
      <w:numFmt w:val="bullet"/>
      <w:lvlText w:val=""/>
      <w:lvlJc w:val="left"/>
      <w:pPr>
        <w:tabs>
          <w:tab w:val="num" w:pos="2880"/>
        </w:tabs>
        <w:ind w:left="2880" w:hanging="360"/>
      </w:pPr>
      <w:rPr>
        <w:rFonts w:ascii="Wingdings" w:hAnsi="Wingdings" w:hint="default"/>
        <w:sz w:val="20"/>
      </w:rPr>
    </w:lvl>
    <w:lvl w:ilvl="4" w:tplc="6B422B3C" w:tentative="1">
      <w:start w:val="1"/>
      <w:numFmt w:val="bullet"/>
      <w:lvlText w:val=""/>
      <w:lvlJc w:val="left"/>
      <w:pPr>
        <w:tabs>
          <w:tab w:val="num" w:pos="3600"/>
        </w:tabs>
        <w:ind w:left="3600" w:hanging="360"/>
      </w:pPr>
      <w:rPr>
        <w:rFonts w:ascii="Wingdings" w:hAnsi="Wingdings" w:hint="default"/>
        <w:sz w:val="20"/>
      </w:rPr>
    </w:lvl>
    <w:lvl w:ilvl="5" w:tplc="133E9986" w:tentative="1">
      <w:start w:val="1"/>
      <w:numFmt w:val="bullet"/>
      <w:lvlText w:val=""/>
      <w:lvlJc w:val="left"/>
      <w:pPr>
        <w:tabs>
          <w:tab w:val="num" w:pos="4320"/>
        </w:tabs>
        <w:ind w:left="4320" w:hanging="360"/>
      </w:pPr>
      <w:rPr>
        <w:rFonts w:ascii="Wingdings" w:hAnsi="Wingdings" w:hint="default"/>
        <w:sz w:val="20"/>
      </w:rPr>
    </w:lvl>
    <w:lvl w:ilvl="6" w:tplc="14F0A014" w:tentative="1">
      <w:start w:val="1"/>
      <w:numFmt w:val="bullet"/>
      <w:lvlText w:val=""/>
      <w:lvlJc w:val="left"/>
      <w:pPr>
        <w:tabs>
          <w:tab w:val="num" w:pos="5040"/>
        </w:tabs>
        <w:ind w:left="5040" w:hanging="360"/>
      </w:pPr>
      <w:rPr>
        <w:rFonts w:ascii="Wingdings" w:hAnsi="Wingdings" w:hint="default"/>
        <w:sz w:val="20"/>
      </w:rPr>
    </w:lvl>
    <w:lvl w:ilvl="7" w:tplc="ACACEE90" w:tentative="1">
      <w:start w:val="1"/>
      <w:numFmt w:val="bullet"/>
      <w:lvlText w:val=""/>
      <w:lvlJc w:val="left"/>
      <w:pPr>
        <w:tabs>
          <w:tab w:val="num" w:pos="5760"/>
        </w:tabs>
        <w:ind w:left="5760" w:hanging="360"/>
      </w:pPr>
      <w:rPr>
        <w:rFonts w:ascii="Wingdings" w:hAnsi="Wingdings" w:hint="default"/>
        <w:sz w:val="20"/>
      </w:rPr>
    </w:lvl>
    <w:lvl w:ilvl="8" w:tplc="8A266F76"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0D4383"/>
    <w:multiLevelType w:val="hybridMultilevel"/>
    <w:tmpl w:val="6CD24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2F"/>
    <w:rsid w:val="00024DBC"/>
    <w:rsid w:val="00063C44"/>
    <w:rsid w:val="00082A07"/>
    <w:rsid w:val="000A741A"/>
    <w:rsid w:val="000C5109"/>
    <w:rsid w:val="000D21EA"/>
    <w:rsid w:val="001A4FB1"/>
    <w:rsid w:val="001C12D6"/>
    <w:rsid w:val="001C1A28"/>
    <w:rsid w:val="001C78E1"/>
    <w:rsid w:val="001D018C"/>
    <w:rsid w:val="002035FD"/>
    <w:rsid w:val="002614A5"/>
    <w:rsid w:val="002C20E3"/>
    <w:rsid w:val="00306991"/>
    <w:rsid w:val="00341EB4"/>
    <w:rsid w:val="0039614C"/>
    <w:rsid w:val="003B1D30"/>
    <w:rsid w:val="00400B4A"/>
    <w:rsid w:val="00401D9D"/>
    <w:rsid w:val="00422348"/>
    <w:rsid w:val="004A2D99"/>
    <w:rsid w:val="004D1E57"/>
    <w:rsid w:val="005625E1"/>
    <w:rsid w:val="005E4C3A"/>
    <w:rsid w:val="00644331"/>
    <w:rsid w:val="0066254D"/>
    <w:rsid w:val="007B1B05"/>
    <w:rsid w:val="007C5735"/>
    <w:rsid w:val="00862698"/>
    <w:rsid w:val="00892FCC"/>
    <w:rsid w:val="00924CEB"/>
    <w:rsid w:val="00934432"/>
    <w:rsid w:val="009C6AC2"/>
    <w:rsid w:val="009D456A"/>
    <w:rsid w:val="00A07FAD"/>
    <w:rsid w:val="00A23A6F"/>
    <w:rsid w:val="00A8379D"/>
    <w:rsid w:val="00A8602F"/>
    <w:rsid w:val="00B15AFA"/>
    <w:rsid w:val="00BA1F57"/>
    <w:rsid w:val="00BC1B71"/>
    <w:rsid w:val="00C15600"/>
    <w:rsid w:val="00CD6ED9"/>
    <w:rsid w:val="00D30B5A"/>
    <w:rsid w:val="00D94A4C"/>
    <w:rsid w:val="00DB3711"/>
    <w:rsid w:val="00E221E3"/>
    <w:rsid w:val="00E24380"/>
    <w:rsid w:val="00E26FC0"/>
    <w:rsid w:val="00E46B7E"/>
    <w:rsid w:val="00F139DA"/>
    <w:rsid w:val="00F22A26"/>
    <w:rsid w:val="00F5034B"/>
    <w:rsid w:val="00F64AE8"/>
    <w:rsid w:val="00FA57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845356-80B5-4884-8BD0-2953C659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46B7E"/>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6B7E"/>
    <w:rPr>
      <w:rFonts w:ascii="Segoe UI" w:hAnsi="Segoe UI" w:cs="Segoe UI"/>
      <w:sz w:val="18"/>
      <w:szCs w:val="18"/>
    </w:rPr>
  </w:style>
  <w:style w:type="paragraph" w:styleId="Corpsdetexte2">
    <w:name w:val="Body Text 2"/>
    <w:basedOn w:val="Normal"/>
    <w:link w:val="Corpsdetexte2Car"/>
    <w:semiHidden/>
    <w:rsid w:val="00F5034B"/>
    <w:pPr>
      <w:jc w:val="center"/>
    </w:pPr>
    <w:rPr>
      <w:rFonts w:ascii="Arial" w:eastAsia="Times New Roman" w:hAnsi="Arial"/>
      <w:b/>
      <w:color w:val="004CFF"/>
      <w:sz w:val="45"/>
      <w:szCs w:val="45"/>
    </w:rPr>
  </w:style>
  <w:style w:type="character" w:customStyle="1" w:styleId="Corpsdetexte2Car">
    <w:name w:val="Corps de texte 2 Car"/>
    <w:basedOn w:val="Policepardfaut"/>
    <w:link w:val="Corpsdetexte2"/>
    <w:semiHidden/>
    <w:rsid w:val="00F5034B"/>
    <w:rPr>
      <w:rFonts w:ascii="Arial" w:eastAsia="Times New Roman" w:hAnsi="Arial"/>
      <w:b/>
      <w:color w:val="004CFF"/>
      <w:sz w:val="45"/>
      <w:szCs w:val="45"/>
    </w:rPr>
  </w:style>
  <w:style w:type="paragraph" w:styleId="Corpsdetexte">
    <w:name w:val="Body Text"/>
    <w:basedOn w:val="Normal"/>
    <w:link w:val="CorpsdetexteCar"/>
    <w:semiHidden/>
    <w:rsid w:val="00F5034B"/>
    <w:pPr>
      <w:jc w:val="center"/>
    </w:pPr>
    <w:rPr>
      <w:rFonts w:ascii="Arial" w:eastAsia="Times New Roman" w:hAnsi="Arial"/>
      <w:b/>
      <w:sz w:val="36"/>
      <w:szCs w:val="45"/>
    </w:rPr>
  </w:style>
  <w:style w:type="character" w:customStyle="1" w:styleId="CorpsdetexteCar">
    <w:name w:val="Corps de texte Car"/>
    <w:basedOn w:val="Policepardfaut"/>
    <w:link w:val="Corpsdetexte"/>
    <w:semiHidden/>
    <w:rsid w:val="00F5034B"/>
    <w:rPr>
      <w:rFonts w:ascii="Arial" w:eastAsia="Times New Roman" w:hAnsi="Arial"/>
      <w:b/>
      <w:sz w:val="36"/>
      <w:szCs w:val="45"/>
    </w:rPr>
  </w:style>
  <w:style w:type="paragraph" w:styleId="En-tte">
    <w:name w:val="header"/>
    <w:basedOn w:val="Normal"/>
    <w:link w:val="En-tteCar"/>
    <w:uiPriority w:val="99"/>
    <w:unhideWhenUsed/>
    <w:rsid w:val="00F139DA"/>
    <w:pPr>
      <w:tabs>
        <w:tab w:val="center" w:pos="4536"/>
        <w:tab w:val="right" w:pos="9072"/>
      </w:tabs>
    </w:pPr>
  </w:style>
  <w:style w:type="character" w:customStyle="1" w:styleId="En-tteCar">
    <w:name w:val="En-tête Car"/>
    <w:basedOn w:val="Policepardfaut"/>
    <w:link w:val="En-tte"/>
    <w:uiPriority w:val="99"/>
    <w:rsid w:val="00F139DA"/>
  </w:style>
  <w:style w:type="paragraph" w:styleId="Pieddepage">
    <w:name w:val="footer"/>
    <w:basedOn w:val="Normal"/>
    <w:link w:val="PieddepageCar"/>
    <w:uiPriority w:val="99"/>
    <w:unhideWhenUsed/>
    <w:rsid w:val="00F139DA"/>
    <w:pPr>
      <w:tabs>
        <w:tab w:val="center" w:pos="4536"/>
        <w:tab w:val="right" w:pos="9072"/>
      </w:tabs>
    </w:pPr>
  </w:style>
  <w:style w:type="character" w:customStyle="1" w:styleId="PieddepageCar">
    <w:name w:val="Pied de page Car"/>
    <w:basedOn w:val="Policepardfaut"/>
    <w:link w:val="Pieddepage"/>
    <w:uiPriority w:val="99"/>
    <w:rsid w:val="00F139DA"/>
  </w:style>
  <w:style w:type="paragraph" w:styleId="Paragraphedeliste">
    <w:name w:val="List Paragraph"/>
    <w:basedOn w:val="Normal"/>
    <w:uiPriority w:val="34"/>
    <w:qFormat/>
    <w:rsid w:val="008626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89C5F-63A1-42F1-83D8-E4E058ED9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4364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HAUW Nathalie, VNF/CPDG</dc:creator>
  <cp:keywords/>
  <cp:lastModifiedBy>MERMIER Myriam, VNF/DT Nord-Est/UTI canal des Vosges/Pôle Administratif</cp:lastModifiedBy>
  <cp:revision>2</cp:revision>
  <cp:lastPrinted>2022-03-21T09:15:00Z</cp:lastPrinted>
  <dcterms:created xsi:type="dcterms:W3CDTF">2022-10-25T07:29:00Z</dcterms:created>
  <dcterms:modified xsi:type="dcterms:W3CDTF">2022-10-25T07:29:00Z</dcterms:modified>
</cp:coreProperties>
</file>